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30"/>
          <w:szCs w:val="26"/>
        </w:rPr>
        <w:t xml:space="preserve">ТЕКСТ ОБРАЩЕНИЯ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Я являюсь продавцом на электронной торговой площадке Wildberries.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ИП / ООО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Мои товары хранились на складе Wildberries по адресу: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[полный адрес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Прошу предоставить справку о пожаре, произошедшем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 происшествия]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необходимую для оценки ущерба, причинённого моему имуществу.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Контактный 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Адрес электронной почты: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r>
        <w:rPr>
          <w:rFonts w:ascii="Georgia" w:hAnsi="Georgia" w:cs="Georgia"/>
          <w:color w:val="24312C"/>
        </w:rPr>
        <w:br w:type="page"/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АДРЕСА СКЛАДОВ И ДАТЫ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0"/>
          <w:szCs w:val="20"/>
        </w:rPr>
        <w:t xml:space="preserve">Скопируйте нужную строку в текст обращения. Даты приведены по публичным сообщениям — сверьте перед отправкой.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300"/>
        <w:gridCol w:w="2200"/>
      </w:tblGrid>
      <w:tr>
        <w:tc>
          <w:tcPr>
            <w:tcW w:type="dxa" w:w="17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/>
                <w:bCs/>
                <w:color w:val="0E6B54"/>
                <w:sz w:val="18"/>
                <w:szCs w:val="18"/>
              </w:rPr>
              <w:t xml:space="preserve">Склад</w:t>
            </w:r>
          </w:p>
        </w:tc>
        <w:tc>
          <w:tcPr>
            <w:tcW w:type="dxa" w:w="53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/>
                <w:bCs/>
                <w:color w:val="0E6B54"/>
                <w:sz w:val="18"/>
                <w:szCs w:val="18"/>
              </w:rPr>
              <w:t xml:space="preserve">Адрес</w:t>
            </w:r>
          </w:p>
        </w:tc>
        <w:tc>
          <w:tcPr>
            <w:tcW w:type="dxa" w:w="22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/>
                <w:bCs/>
                <w:color w:val="0E6B54"/>
                <w:sz w:val="18"/>
                <w:szCs w:val="18"/>
              </w:rPr>
              <w:t xml:space="preserve">Дата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Электросталь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Московская область, городской округ Электросталь, поселок Случайный, территория Массив 3, дом 5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в ночь с 17 на 18 июля 2026 года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Котовск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Тамбовская область, городской округ Котовск, индустриальный парк Котовск, 3/8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в ночь с 17 на 18 июля 2026 года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Краснодар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г. Краснодар, ул. Тихорецкая, д. 40, стр. 1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22 июля 2026 года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Невинномысск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Ставропольский край, г. Невинномысск, ул. Тимирязева, д. 16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22 июля 2026 года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Шушары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г. Санкт-Петербург, Московское шоссе, уч. 153, корп. 2, стр. 1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24 июля 2026 года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Уткина Заводь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Ленинградская область, Всеволожский район, д. Новосаратовка, промзона «Уткина Заводь», комплекс МЛП, корпус 4, парадная 4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24 июля 2026 года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Рязань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Рязанская область, Рязанский район, Тюшевское сельское поселение, индустриальный промышленный парк «Рязанский»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29 июля 2026 года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Пенза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Пензенская область, Бессоновский район, с. Мастиновка, ул. Полевая, стр. 1/6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30 июля 2026 года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Сарапул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Удмуртская Республика, г. Сарапул, Ижевский тракт, д. 22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30 июля 2026 года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Волгоград</w:t>
            </w:r>
          </w:p>
        </w:tc>
        <w:tc>
          <w:tcPr>
            <w:tcW w:type="dxa" w:w="5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г. Волгоград, ул. Пржевальского, д. 20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Arial" w:hAnsi="Georgia"/>
                <w:b w:val="false"/>
                <w:bCs w:val="false"/>
                <w:color w:val="24312C"/>
                <w:sz w:val="18"/>
                <w:szCs w:val="18"/>
              </w:rPr>
              <w:t xml:space="preserve">31 июля 2026 года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0"/>
          <w:szCs w:val="20"/>
        </w:rPr>
        <w:t xml:space="preserve">Для Электростали в исходных материалах указывался код регионального подразделения 21041 — уточните его актуальность при подаче.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2026-08-05T05:32:11.661Z</dcterms:created>
  <dcterms:modified xsi:type="dcterms:W3CDTF">2026-08-05T05:32:11.680Z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