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Georgia" w:cs="Georgia" w:eastAsia="Arial" w:hAnsi="Georgia"/>
          <w:b/>
          <w:bCs/>
          <w:color w:val="0E6B54"/>
          <w:sz w:val="30"/>
          <w:szCs w:val="24"/>
        </w:rPr>
        <w:t xml:space="preserve">Как заполнять и как пользоваться</w:t>
      </w:r>
    </w:p>
    <w:p>
      <w:pPr>
        <w:spacing w:after="260" w:line="520"/>
      </w:pPr>
      <w:r>
        <w:rPr>
          <w:rFonts w:ascii="Georgia" w:cs="Georgia" w:eastAsia="Arial" w:hAnsi="Georgia"/>
          <w:b/>
          <w:bCs/>
          <w:color w:val="0E6B54"/>
          <w:sz w:val="40"/>
          <w:szCs w:val="40"/>
        </w:rPr>
        <w:t xml:space="preserve">Возражения на отказ в возмещении со ссылкой на форс-мажор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вы получите в ответ на претензию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Скорее всего — отказ со ссылкой на обстоятельства непреодолимой силы и на условие оферты. Это ожидаемо и не означает конца работы.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Почему ссылка на форс-мажор не закрывает вопрос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Освобождение от ответственности требует доказывания по каждому элементу, и доказывает его та сторона, которая на него ссылается.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Пункт 3 статьи 401 Гражданского кодекса называет два признака непреодолимой силы: чрезвычайность и непредотвратимость при данных условиях. Разъяснения о том, как эти признаки устанавливаются, даны в пункте 8 постановления Пленума Верховного Суда Российской Федерации от 24.03.2016 № 7.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Отдельно проверяется связь обстоятельства именно с тем обязательством, которое не исполнено, и то, приняла ли сторона разумные меры для уменьшения ущерба.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Второй узел — дата приёмки товара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Если товар был принят на хранение до вступления в силу редакции оферты с новым условием об ответственности, применимость этого условия к вашим поставкам сама по себе является предметом спора. Здесь работают статья 428 Гражданского кодекса о договоре присоединения и правила об ответственности профессионального хранителя.</w:t>
      </w:r>
    </w:p>
    <w:p>
      <w:pPr>
        <w:spacing w:after="160" w:line="420"/>
      </w:pPr>
      <w:r>
        <w:rPr>
          <w:rFonts w:ascii="Georgia" w:cs="Georgia" w:eastAsia="Arial" w:hAnsi="Georgia"/>
          <w:b/>
          <w:bCs/>
          <w:color w:val="0E6B54"/>
          <w:sz w:val="28"/>
          <w:szCs w:val="28"/>
        </w:rPr>
        <w:t xml:space="preserve">Проверьте по актам приёмки дату по каждой поставке</w:t>
      </w: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 и укажите её в возражениях. Это ключевой факт.</w:t>
      </w:r>
    </w:p>
    <w:p>
      <w:pPr>
        <w:spacing w:after="140" w:before="300" w:line="440"/>
      </w:pPr>
      <w:r>
        <w:rPr>
          <w:rFonts w:ascii="Georgia" w:cs="Georgia" w:eastAsia="Arial" w:hAnsi="Georgia"/>
          <w:b/>
          <w:bCs/>
          <w:color w:val="0E6B54"/>
          <w:sz w:val="32"/>
          <w:szCs w:val="32"/>
        </w:rPr>
        <w:t xml:space="preserve">Что делать дальше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Возражения — это ещё и способ получить документы, которые не дали по претензии. Ответ на них либо пополнит доказательственную базу, либо зафиксирует отказ её предоставить. И то и другое работает в суде.</w:t>
      </w:r>
    </w:p>
    <w:p>
      <w:pPr>
        <w:spacing w:after="160" w:line="420"/>
      </w:pPr>
      <w:r>
        <w:rPr>
          <w:rFonts w:ascii="Georgia" w:cs="Georgia" w:eastAsia="Arial" w:hAnsi="Georgia"/>
          <w:b w:val="false"/>
          <w:bCs w:val="false"/>
          <w:color w:val="24312C"/>
          <w:sz w:val="28"/>
          <w:szCs w:val="28"/>
        </w:rPr>
        <w:t xml:space="preserve">После возражений при отсутствии результата — иск. Претензионный порядок к этому моменту уже соблюдён.</w:t>
      </w:r>
    </w:p>
    <w:p>
      <w:pPr>
        <w:pBdr>
          <w:top w:val="single" w:color="BFBFBF" w:sz="6" w:space="10"/>
        </w:pBdr>
        <w:spacing w:after="140" w:before="300" w:line="420"/>
      </w:pPr>
      <w:r>
        <w:rPr>
          <w:rFonts w:ascii="Georgia" w:cs="Georgia" w:eastAsia="Arial" w:hAnsi="Georgia"/>
          <w:i/>
          <w:iCs/>
          <w:color w:val="24312C"/>
          <w:sz w:val="26"/>
          <w:szCs w:val="26"/>
        </w:rPr>
        <w:t xml:space="preserve">В самом бланке жёлтым выделены поля, которые нужно заменить своими данными. Абзацы, факты по которым у вас не подтверждены документами, удалите целиком — незаполненных мест в отправляемом документе оставаться не должно.</w:t>
      </w:r>
    </w:p>
    <w:p>
      <w:pPr>
        <w:spacing w:before="200" w:line="400"/>
      </w:pPr>
      <w:r>
        <w:rPr>
          <w:rFonts w:ascii="Georgia" w:cs="Georgia" w:eastAsia="Arial" w:hAnsi="Georgia"/>
          <w:color w:val="24312C"/>
          <w:sz w:val="24"/>
          <w:szCs w:val="24"/>
        </w:rPr>
        <w:t xml:space="preserve">Полная дорожная карта и остальные документы: orgmap.my · @IKUinfo_bot</w:t>
      </w:r>
    </w:p>
    <w:sectPr>
      <w:headerReference w:type="default" r:id="rId8"/>
      <w:footerReference w:type="default" r:id="rId9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</w:rPr>
    </w:rPrDefault>
    <w:pPrDefault>
      <w:pPr>
        <w:spacing w:line="42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2026-08-05T05:32:13.585Z</dcterms:created>
  <dcterms:modified xsi:type="dcterms:W3CDTF">2026-08-05T05:32:13.585Z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